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B8" w:rsidRDefault="005B224F" w:rsidP="00A826B9">
      <w:pPr>
        <w:spacing w:after="0" w:line="240" w:lineRule="auto"/>
      </w:pPr>
      <w:bookmarkStart w:id="0" w:name="_GoBack"/>
      <w:bookmarkEnd w:id="0"/>
    </w:p>
    <w:p w:rsidR="006878AF" w:rsidRDefault="006878AF" w:rsidP="00A826B9">
      <w:pPr>
        <w:spacing w:after="0" w:line="240" w:lineRule="auto"/>
        <w:jc w:val="center"/>
        <w:rPr>
          <w:b/>
          <w:sz w:val="24"/>
          <w:szCs w:val="24"/>
        </w:rPr>
      </w:pPr>
      <w:r w:rsidRPr="002520C3">
        <w:rPr>
          <w:b/>
          <w:sz w:val="32"/>
          <w:szCs w:val="32"/>
        </w:rPr>
        <w:t>Challenging the Boundaries</w:t>
      </w:r>
      <w:r w:rsidRPr="00912585">
        <w:rPr>
          <w:b/>
          <w:sz w:val="32"/>
          <w:szCs w:val="32"/>
        </w:rPr>
        <w:t xml:space="preserve"> </w:t>
      </w:r>
      <w:r>
        <w:rPr>
          <w:b/>
          <w:sz w:val="32"/>
          <w:szCs w:val="32"/>
        </w:rPr>
        <w:t>of Undergraduate Research</w:t>
      </w:r>
      <w:r w:rsidRPr="006878AF">
        <w:rPr>
          <w:b/>
          <w:sz w:val="24"/>
          <w:szCs w:val="24"/>
        </w:rPr>
        <w:t xml:space="preserve"> </w:t>
      </w:r>
    </w:p>
    <w:p w:rsidR="00A826B9" w:rsidRPr="002520C3" w:rsidRDefault="00A826B9" w:rsidP="00A826B9">
      <w:pPr>
        <w:spacing w:after="0" w:line="240" w:lineRule="auto"/>
        <w:jc w:val="center"/>
        <w:rPr>
          <w:b/>
          <w:sz w:val="32"/>
          <w:szCs w:val="32"/>
        </w:rPr>
      </w:pPr>
      <w:r w:rsidRPr="002520C3">
        <w:rPr>
          <w:b/>
          <w:sz w:val="32"/>
          <w:szCs w:val="32"/>
        </w:rPr>
        <w:t>Mick Healey</w:t>
      </w:r>
    </w:p>
    <w:p w:rsidR="00A826B9" w:rsidRPr="002520C3" w:rsidRDefault="00A826B9" w:rsidP="00A826B9">
      <w:pPr>
        <w:spacing w:after="0" w:line="240" w:lineRule="auto"/>
        <w:jc w:val="center"/>
        <w:rPr>
          <w:b/>
        </w:rPr>
      </w:pPr>
      <w:r w:rsidRPr="002520C3">
        <w:rPr>
          <w:b/>
        </w:rPr>
        <w:t>(</w:t>
      </w:r>
      <w:hyperlink r:id="rId5" w:history="1">
        <w:r w:rsidRPr="002520C3">
          <w:rPr>
            <w:rStyle w:val="Hyperlink"/>
            <w:b/>
          </w:rPr>
          <w:t>mhealey@glos.ac.uk</w:t>
        </w:r>
      </w:hyperlink>
      <w:r w:rsidRPr="002520C3">
        <w:rPr>
          <w:b/>
        </w:rPr>
        <w:t xml:space="preserve">; </w:t>
      </w:r>
      <w:hyperlink r:id="rId6" w:history="1">
        <w:r w:rsidRPr="008F2BFC">
          <w:rPr>
            <w:rStyle w:val="Hyperlink"/>
            <w:b/>
          </w:rPr>
          <w:t>www.mickhealey.co.uk</w:t>
        </w:r>
      </w:hyperlink>
      <w:r w:rsidRPr="002520C3">
        <w:rPr>
          <w:b/>
        </w:rPr>
        <w:t>)</w:t>
      </w:r>
    </w:p>
    <w:p w:rsidR="006878AF" w:rsidRDefault="006878AF" w:rsidP="00A826B9">
      <w:pPr>
        <w:spacing w:after="0" w:line="240" w:lineRule="auto"/>
        <w:jc w:val="center"/>
        <w:rPr>
          <w:b/>
          <w:sz w:val="24"/>
          <w:szCs w:val="24"/>
        </w:rPr>
      </w:pPr>
    </w:p>
    <w:p w:rsidR="006878AF" w:rsidRDefault="006878AF" w:rsidP="00A826B9">
      <w:pPr>
        <w:spacing w:after="0" w:line="240" w:lineRule="auto"/>
        <w:jc w:val="center"/>
        <w:rPr>
          <w:b/>
          <w:sz w:val="24"/>
          <w:szCs w:val="24"/>
        </w:rPr>
      </w:pPr>
      <w:r w:rsidRPr="006878AF">
        <w:rPr>
          <w:b/>
          <w:sz w:val="24"/>
          <w:szCs w:val="24"/>
        </w:rPr>
        <w:t>All Ireland Conference on Undergraduate Research</w:t>
      </w:r>
    </w:p>
    <w:p w:rsidR="006878AF" w:rsidRDefault="006878AF" w:rsidP="00A826B9">
      <w:pPr>
        <w:spacing w:after="0" w:line="240" w:lineRule="auto"/>
        <w:jc w:val="center"/>
        <w:rPr>
          <w:b/>
          <w:sz w:val="24"/>
          <w:szCs w:val="24"/>
        </w:rPr>
      </w:pPr>
      <w:r>
        <w:rPr>
          <w:b/>
          <w:sz w:val="24"/>
          <w:szCs w:val="24"/>
        </w:rPr>
        <w:t>Thursday 9</w:t>
      </w:r>
      <w:r w:rsidRPr="006878AF">
        <w:rPr>
          <w:b/>
          <w:sz w:val="24"/>
          <w:szCs w:val="24"/>
          <w:vertAlign w:val="superscript"/>
        </w:rPr>
        <w:t>th</w:t>
      </w:r>
      <w:r>
        <w:rPr>
          <w:b/>
          <w:sz w:val="24"/>
          <w:szCs w:val="24"/>
        </w:rPr>
        <w:t xml:space="preserve"> April 2015</w:t>
      </w:r>
    </w:p>
    <w:p w:rsidR="00A826B9" w:rsidRDefault="00A826B9" w:rsidP="00A826B9">
      <w:pPr>
        <w:spacing w:after="0" w:line="240" w:lineRule="auto"/>
        <w:jc w:val="center"/>
        <w:rPr>
          <w:b/>
          <w:sz w:val="24"/>
          <w:szCs w:val="24"/>
        </w:rPr>
      </w:pPr>
    </w:p>
    <w:p w:rsidR="00A826B9" w:rsidRPr="00A826B9" w:rsidRDefault="0041533E" w:rsidP="00A826B9">
      <w:pPr>
        <w:spacing w:after="0" w:line="240" w:lineRule="auto"/>
        <w:jc w:val="center"/>
        <w:rPr>
          <w:sz w:val="24"/>
          <w:szCs w:val="24"/>
        </w:rPr>
      </w:pPr>
      <w:r>
        <w:rPr>
          <w:bCs/>
          <w:sz w:val="24"/>
          <w:szCs w:val="24"/>
        </w:rPr>
        <w:t>Undergraduate research</w:t>
      </w:r>
      <w:r w:rsidR="00A826B9" w:rsidRPr="00A826B9">
        <w:rPr>
          <w:bCs/>
          <w:sz w:val="24"/>
          <w:szCs w:val="24"/>
        </w:rPr>
        <w:t xml:space="preserve"> is “An inquiry or investigation conducted by an undergraduate student that makes an original intellectual or creative contribution to the discipline.”</w:t>
      </w:r>
      <w:r w:rsidR="00A826B9" w:rsidRPr="00A826B9">
        <w:rPr>
          <w:b/>
          <w:bCs/>
          <w:sz w:val="24"/>
          <w:szCs w:val="24"/>
        </w:rPr>
        <w:t xml:space="preserve"> </w:t>
      </w:r>
      <w:r w:rsidR="00A826B9" w:rsidRPr="00A826B9">
        <w:rPr>
          <w:sz w:val="24"/>
          <w:szCs w:val="24"/>
        </w:rPr>
        <w:t>(Council on Undergraduate Research, undated)</w:t>
      </w:r>
    </w:p>
    <w:p w:rsidR="00A826B9" w:rsidRPr="00A826B9" w:rsidRDefault="00A826B9" w:rsidP="00A826B9">
      <w:pPr>
        <w:spacing w:after="0" w:line="240" w:lineRule="auto"/>
        <w:jc w:val="center"/>
        <w:rPr>
          <w:sz w:val="24"/>
          <w:szCs w:val="24"/>
        </w:rPr>
      </w:pPr>
    </w:p>
    <w:p w:rsidR="00A826B9" w:rsidRDefault="00A826B9" w:rsidP="00A826B9">
      <w:pPr>
        <w:spacing w:after="0" w:line="240" w:lineRule="auto"/>
        <w:jc w:val="center"/>
        <w:rPr>
          <w:sz w:val="24"/>
          <w:szCs w:val="24"/>
        </w:rPr>
      </w:pPr>
      <w:r w:rsidRPr="00A826B9">
        <w:rPr>
          <w:sz w:val="24"/>
          <w:szCs w:val="24"/>
        </w:rPr>
        <w:t>“</w:t>
      </w:r>
      <w:proofErr w:type="gramStart"/>
      <w:r w:rsidRPr="00A826B9">
        <w:rPr>
          <w:i/>
          <w:sz w:val="24"/>
          <w:szCs w:val="24"/>
        </w:rPr>
        <w:t>all</w:t>
      </w:r>
      <w:proofErr w:type="gramEnd"/>
      <w:r w:rsidRPr="00A826B9">
        <w:rPr>
          <w:sz w:val="24"/>
          <w:szCs w:val="24"/>
        </w:rPr>
        <w:t xml:space="preserve"> undergraduate students in </w:t>
      </w:r>
      <w:r w:rsidRPr="00A826B9">
        <w:rPr>
          <w:i/>
          <w:sz w:val="24"/>
          <w:szCs w:val="24"/>
        </w:rPr>
        <w:t>all</w:t>
      </w:r>
      <w:r w:rsidRPr="00A826B9">
        <w:rPr>
          <w:sz w:val="24"/>
          <w:szCs w:val="24"/>
        </w:rPr>
        <w:t xml:space="preserve"> higher education institutions should experience learning through, and about, research and inquiry.” (Healey and Jenkins, 2009, 3)</w:t>
      </w:r>
    </w:p>
    <w:p w:rsidR="00A826B9" w:rsidRDefault="00A826B9" w:rsidP="00A826B9">
      <w:pPr>
        <w:spacing w:after="0" w:line="240" w:lineRule="auto"/>
        <w:jc w:val="center"/>
        <w:rPr>
          <w:sz w:val="24"/>
          <w:szCs w:val="24"/>
        </w:rPr>
      </w:pPr>
    </w:p>
    <w:p w:rsidR="00A826B9" w:rsidRPr="00A826B9" w:rsidRDefault="0041533E" w:rsidP="00A826B9">
      <w:pPr>
        <w:spacing w:after="0" w:line="240" w:lineRule="auto"/>
        <w:rPr>
          <w:sz w:val="24"/>
          <w:szCs w:val="24"/>
        </w:rPr>
      </w:pPr>
      <w:r>
        <w:rPr>
          <w:sz w:val="24"/>
          <w:szCs w:val="24"/>
        </w:rPr>
        <w:t xml:space="preserve">The above two quotes suggest that the concept of undergraduate research (UGR) is an area of disagreement.  This </w:t>
      </w:r>
      <w:r w:rsidR="00317F89">
        <w:rPr>
          <w:sz w:val="24"/>
          <w:szCs w:val="24"/>
        </w:rPr>
        <w:t xml:space="preserve">interactive </w:t>
      </w:r>
      <w:r>
        <w:rPr>
          <w:sz w:val="24"/>
          <w:szCs w:val="24"/>
        </w:rPr>
        <w:t>presentation will explore some different viewpoints about the nature of UGR and with reference to specific examples will suggest that a broader definition than has previously been commonly used in undergraduate research conferences would be a fruitful way forward.</w:t>
      </w:r>
    </w:p>
    <w:p w:rsidR="00A826B9" w:rsidRDefault="00A826B9" w:rsidP="00A826B9">
      <w:pPr>
        <w:spacing w:after="0" w:line="240" w:lineRule="auto"/>
        <w:rPr>
          <w:b/>
          <w:sz w:val="24"/>
          <w:szCs w:val="24"/>
        </w:rPr>
      </w:pPr>
    </w:p>
    <w:p w:rsidR="00A826B9" w:rsidRPr="00195BFF" w:rsidRDefault="00A826B9" w:rsidP="00A826B9">
      <w:pPr>
        <w:spacing w:after="0" w:line="240" w:lineRule="auto"/>
        <w:rPr>
          <w:rFonts w:cstheme="minorHAnsi"/>
          <w:b/>
          <w:bCs/>
        </w:rPr>
      </w:pPr>
      <w:r w:rsidRPr="00195BFF">
        <w:rPr>
          <w:rFonts w:ascii="Calibri" w:hAnsi="Calibri" w:cs="Calibri"/>
          <w:b/>
          <w:bCs/>
        </w:rPr>
        <w:t>Mick Healey</w:t>
      </w:r>
      <w:r w:rsidRPr="00195BFF">
        <w:rPr>
          <w:rFonts w:ascii="Calibri" w:hAnsi="Calibri" w:cs="Calibri"/>
        </w:rPr>
        <w:t xml:space="preserve"> is a HE Consultant and Researcher and Emeritus Professor at the University of Gloucestershire, UK.  He is also a Visiting Professor at University College London, an adjunct Professor at Macquarie University, Australia and an International Teaching Fellow at University College Cork.  Until 2010 he was Director of the Centre for Active Learning, a nationally funded Centre for Excellence in Teaching and Learning at Gloucestershire. He was one of the first people in the UK to be awarded a National Teaching Fellowship (NTF) and to be made a Principal Fellow of the HE Academy</w:t>
      </w:r>
      <w:r>
        <w:rPr>
          <w:rFonts w:ascii="Calibri" w:hAnsi="Calibri" w:cs="Calibri"/>
        </w:rPr>
        <w:t xml:space="preserve">.  </w:t>
      </w:r>
      <w:r w:rsidRPr="00195BFF">
        <w:rPr>
          <w:rFonts w:ascii="Calibri" w:hAnsi="Calibri" w:cs="Calibri"/>
        </w:rPr>
        <w:t>Mick is an experienced presenter.  Since 1995 he has given over 500 educational workshops, seminars and conference presentations in 18 different countries.  He has written and edited more than 150 papers, chapters, books and guides on various aspects of teaching and learning in HE</w:t>
      </w:r>
      <w:r>
        <w:rPr>
          <w:rFonts w:ascii="Calibri" w:hAnsi="Calibri" w:cs="Calibri"/>
        </w:rPr>
        <w:t xml:space="preserve"> and i</w:t>
      </w:r>
      <w:r w:rsidRPr="00195BFF">
        <w:t xml:space="preserve">s the </w:t>
      </w:r>
      <w:r w:rsidRPr="00195BFF">
        <w:rPr>
          <w:color w:val="000000"/>
        </w:rPr>
        <w:t xml:space="preserve">Joint International Editor for the US </w:t>
      </w:r>
      <w:r w:rsidRPr="00195BFF">
        <w:rPr>
          <w:i/>
          <w:iCs/>
          <w:color w:val="000000"/>
        </w:rPr>
        <w:t>Council on Undergraduate Research Quarterly.</w:t>
      </w:r>
      <w:r w:rsidRPr="00195BFF">
        <w:rPr>
          <w:iCs/>
          <w:color w:val="000000"/>
        </w:rPr>
        <w:t xml:space="preserve"> </w:t>
      </w:r>
      <w:r w:rsidRPr="00195BFF">
        <w:rPr>
          <w:rFonts w:ascii="Calibri" w:hAnsi="Calibri" w:cs="Calibri"/>
        </w:rPr>
        <w:t xml:space="preserve">He is often asked to act as an advisor to projects, universities and national governments on aspects of teaching and learning in HE. </w:t>
      </w:r>
      <w:r>
        <w:rPr>
          <w:rFonts w:cstheme="minorHAnsi"/>
        </w:rPr>
        <w:t>Mick</w:t>
      </w:r>
      <w:r w:rsidRPr="00195BFF">
        <w:rPr>
          <w:rFonts w:cstheme="minorHAnsi"/>
        </w:rPr>
        <w:t xml:space="preserve"> is a frequent visitor to Ireland. He was a Visiting Expert for the HEA evaluating teaching and learning components of the PRTLI programme in 2003 and has been an international advisor to the National Academy for the Integration of Research, Teaching and Learning since 2007.  He has given presentations for AISHE and LIN and delivered workshops at Athlone, Carlow, Cork, DIT, Dublin ITT, DUC, Galway, Limerick, St Patrick’s and TCD.</w:t>
      </w:r>
    </w:p>
    <w:p w:rsidR="00A826B9" w:rsidRPr="00195BFF" w:rsidRDefault="00A826B9" w:rsidP="00A826B9">
      <w:pPr>
        <w:spacing w:after="0" w:line="240" w:lineRule="auto"/>
        <w:rPr>
          <w:rFonts w:cs="Arial"/>
          <w:iCs/>
        </w:rPr>
      </w:pPr>
    </w:p>
    <w:p w:rsidR="00A826B9" w:rsidRDefault="00A826B9" w:rsidP="00A826B9">
      <w:pPr>
        <w:spacing w:after="0" w:line="240" w:lineRule="auto"/>
        <w:rPr>
          <w:rFonts w:ascii="Calibri" w:hAnsi="Calibri" w:cs="Calibri"/>
          <w:b/>
          <w:bCs/>
        </w:rPr>
      </w:pPr>
      <w:r w:rsidRPr="008852FD">
        <w:rPr>
          <w:rFonts w:ascii="Calibri" w:hAnsi="Calibri" w:cs="Calibri"/>
          <w:b/>
          <w:bCs/>
        </w:rPr>
        <w:t>Some recent references</w:t>
      </w:r>
      <w:r>
        <w:rPr>
          <w:rFonts w:ascii="Calibri" w:hAnsi="Calibri" w:cs="Calibri"/>
          <w:b/>
          <w:bCs/>
        </w:rPr>
        <w:t xml:space="preserve"> on topic of the presentation</w:t>
      </w:r>
    </w:p>
    <w:p w:rsidR="00A826B9" w:rsidRDefault="00A826B9" w:rsidP="00A826B9">
      <w:pPr>
        <w:spacing w:after="0" w:line="240" w:lineRule="auto"/>
        <w:rPr>
          <w:rFonts w:ascii="Calibri" w:hAnsi="Calibri" w:cs="Calibri"/>
        </w:rPr>
      </w:pPr>
    </w:p>
    <w:p w:rsidR="00A826B9" w:rsidRPr="009E6B25" w:rsidRDefault="00A826B9" w:rsidP="00A826B9">
      <w:pPr>
        <w:spacing w:after="0" w:line="240" w:lineRule="auto"/>
        <w:rPr>
          <w:rFonts w:ascii="Calibri" w:hAnsi="Calibri" w:cs="Calibri"/>
        </w:rPr>
      </w:pPr>
      <w:r w:rsidRPr="009E6B25">
        <w:rPr>
          <w:rFonts w:ascii="Calibri" w:hAnsi="Calibri" w:cs="Calibri"/>
        </w:rPr>
        <w:t>A full list of references may be found</w:t>
      </w:r>
      <w:r>
        <w:rPr>
          <w:rFonts w:ascii="Calibri" w:hAnsi="Calibri" w:cs="Calibri"/>
        </w:rPr>
        <w:t xml:space="preserve"> at </w:t>
      </w:r>
      <w:hyperlink r:id="rId7" w:history="1">
        <w:r w:rsidRPr="005C5CD3">
          <w:rPr>
            <w:rStyle w:val="Hyperlink"/>
            <w:rFonts w:ascii="Calibri" w:hAnsi="Calibri" w:cs="Calibri"/>
          </w:rPr>
          <w:t>www.mickhealey.co.uk</w:t>
        </w:r>
      </w:hyperlink>
      <w:r>
        <w:rPr>
          <w:rFonts w:ascii="Calibri" w:hAnsi="Calibri" w:cs="Calibri"/>
        </w:rPr>
        <w:t xml:space="preserve"> </w:t>
      </w:r>
      <w:r w:rsidRPr="009E6B25">
        <w:rPr>
          <w:rFonts w:ascii="Calibri" w:hAnsi="Calibri" w:cs="Calibri"/>
        </w:rPr>
        <w:t xml:space="preserve"> </w:t>
      </w:r>
    </w:p>
    <w:p w:rsidR="00A826B9" w:rsidRDefault="00A826B9" w:rsidP="00A826B9">
      <w:pPr>
        <w:spacing w:after="0" w:line="240" w:lineRule="auto"/>
        <w:ind w:left="360" w:hanging="360"/>
        <w:rPr>
          <w:rFonts w:ascii="Calibri" w:hAnsi="Calibri" w:cs="Calibri"/>
        </w:rPr>
      </w:pPr>
    </w:p>
    <w:p w:rsidR="00A826B9" w:rsidRPr="008852FD" w:rsidRDefault="00A826B9" w:rsidP="00A826B9">
      <w:pPr>
        <w:spacing w:after="0" w:line="240" w:lineRule="auto"/>
        <w:ind w:left="360" w:hanging="360"/>
        <w:rPr>
          <w:rFonts w:ascii="Calibri" w:hAnsi="Calibri" w:cs="Calibri"/>
        </w:rPr>
      </w:pPr>
      <w:r>
        <w:rPr>
          <w:rFonts w:ascii="Calibri" w:hAnsi="Calibri" w:cs="Calibri"/>
        </w:rPr>
        <w:t>2</w:t>
      </w:r>
      <w:r w:rsidRPr="008852FD">
        <w:rPr>
          <w:rFonts w:ascii="Calibri" w:hAnsi="Calibri" w:cs="Calibri"/>
        </w:rPr>
        <w:t xml:space="preserve">005 Linking research and teaching exploring disciplinary spaces and the role of inquiry-based learning, in Barnett, R (ed) </w:t>
      </w:r>
      <w:r w:rsidRPr="008852FD">
        <w:rPr>
          <w:rFonts w:ascii="Calibri" w:hAnsi="Calibri" w:cs="Calibri"/>
          <w:i/>
          <w:iCs/>
        </w:rPr>
        <w:t>Reshaping the university: new relationships between research, scholarship and teaching</w:t>
      </w:r>
      <w:r w:rsidRPr="008852FD">
        <w:rPr>
          <w:rFonts w:ascii="Calibri" w:hAnsi="Calibri" w:cs="Calibri"/>
        </w:rPr>
        <w:t xml:space="preserve"> McGraw-Hill/Open University Press, 67-78 </w:t>
      </w:r>
    </w:p>
    <w:p w:rsidR="00A826B9" w:rsidRPr="008E4C7D" w:rsidRDefault="00A826B9" w:rsidP="00A826B9">
      <w:pPr>
        <w:pStyle w:val="Footer"/>
        <w:tabs>
          <w:tab w:val="left" w:pos="720"/>
        </w:tabs>
        <w:ind w:left="360" w:hanging="360"/>
        <w:rPr>
          <w:rFonts w:asciiTheme="minorHAnsi" w:hAnsiTheme="minorHAnsi" w:cstheme="minorHAnsi"/>
          <w:sz w:val="22"/>
          <w:szCs w:val="22"/>
        </w:rPr>
      </w:pPr>
      <w:r w:rsidRPr="008E4C7D">
        <w:rPr>
          <w:rFonts w:asciiTheme="minorHAnsi" w:hAnsiTheme="minorHAnsi" w:cstheme="minorHAnsi"/>
          <w:sz w:val="22"/>
          <w:szCs w:val="22"/>
        </w:rPr>
        <w:t xml:space="preserve">2005 </w:t>
      </w:r>
      <w:r w:rsidRPr="008E4C7D">
        <w:rPr>
          <w:rFonts w:asciiTheme="minorHAnsi" w:hAnsiTheme="minorHAnsi" w:cstheme="minorHAnsi"/>
          <w:i/>
          <w:iCs/>
          <w:sz w:val="22"/>
          <w:szCs w:val="22"/>
        </w:rPr>
        <w:t xml:space="preserve">Institutional </w:t>
      </w:r>
      <w:r>
        <w:rPr>
          <w:rFonts w:asciiTheme="minorHAnsi" w:hAnsiTheme="minorHAnsi" w:cstheme="minorHAnsi"/>
          <w:i/>
          <w:iCs/>
          <w:sz w:val="22"/>
          <w:szCs w:val="22"/>
        </w:rPr>
        <w:t>s</w:t>
      </w:r>
      <w:r w:rsidRPr="008E4C7D">
        <w:rPr>
          <w:rFonts w:asciiTheme="minorHAnsi" w:hAnsiTheme="minorHAnsi" w:cstheme="minorHAnsi"/>
          <w:i/>
          <w:iCs/>
          <w:sz w:val="22"/>
          <w:szCs w:val="22"/>
        </w:rPr>
        <w:t xml:space="preserve">trategies to </w:t>
      </w:r>
      <w:r>
        <w:rPr>
          <w:rFonts w:asciiTheme="minorHAnsi" w:hAnsiTheme="minorHAnsi" w:cstheme="minorHAnsi"/>
          <w:i/>
          <w:iCs/>
          <w:sz w:val="22"/>
          <w:szCs w:val="22"/>
        </w:rPr>
        <w:t>link teaching and r</w:t>
      </w:r>
      <w:r w:rsidRPr="008E4C7D">
        <w:rPr>
          <w:rFonts w:asciiTheme="minorHAnsi" w:hAnsiTheme="minorHAnsi" w:cstheme="minorHAnsi"/>
          <w:i/>
          <w:iCs/>
          <w:sz w:val="22"/>
          <w:szCs w:val="22"/>
        </w:rPr>
        <w:t>esearch</w:t>
      </w:r>
      <w:r w:rsidRPr="008E4C7D">
        <w:rPr>
          <w:rFonts w:asciiTheme="minorHAnsi" w:hAnsiTheme="minorHAnsi" w:cstheme="minorHAnsi"/>
          <w:sz w:val="22"/>
          <w:szCs w:val="22"/>
        </w:rPr>
        <w:t xml:space="preserve"> York: H</w:t>
      </w:r>
      <w:r>
        <w:rPr>
          <w:rFonts w:asciiTheme="minorHAnsi" w:hAnsiTheme="minorHAnsi" w:cstheme="minorHAnsi"/>
          <w:sz w:val="22"/>
          <w:szCs w:val="22"/>
        </w:rPr>
        <w:t>E</w:t>
      </w:r>
      <w:r w:rsidRPr="008E4C7D">
        <w:rPr>
          <w:rFonts w:asciiTheme="minorHAnsi" w:hAnsiTheme="minorHAnsi" w:cstheme="minorHAnsi"/>
          <w:sz w:val="22"/>
          <w:szCs w:val="22"/>
        </w:rPr>
        <w:t xml:space="preserve"> Academy (Jenkins A and Healey M) 66pp </w:t>
      </w:r>
      <w:hyperlink r:id="rId8" w:history="1">
        <w:r w:rsidRPr="008E4C7D">
          <w:rPr>
            <w:rStyle w:val="Hyperlink"/>
            <w:rFonts w:asciiTheme="minorHAnsi" w:hAnsiTheme="minorHAnsi" w:cstheme="minorHAnsi"/>
            <w:sz w:val="22"/>
            <w:szCs w:val="22"/>
          </w:rPr>
          <w:t>http://www.heacademy.ac.uk/assets/York/documents/ourwork/research/Institutional_strategies.pdf</w:t>
        </w:r>
      </w:hyperlink>
    </w:p>
    <w:p w:rsidR="00A826B9" w:rsidRPr="008852FD" w:rsidRDefault="00A826B9" w:rsidP="00A826B9">
      <w:pPr>
        <w:pStyle w:val="Footer"/>
        <w:tabs>
          <w:tab w:val="left" w:pos="720"/>
        </w:tabs>
        <w:ind w:left="360" w:hanging="360"/>
        <w:rPr>
          <w:rFonts w:ascii="Calibri" w:hAnsi="Calibri" w:cs="Calibri"/>
          <w:color w:val="0000FF"/>
          <w:sz w:val="22"/>
          <w:szCs w:val="22"/>
        </w:rPr>
      </w:pPr>
      <w:r w:rsidRPr="008852FD">
        <w:rPr>
          <w:rFonts w:ascii="Calibri" w:hAnsi="Calibri" w:cs="Calibri"/>
          <w:sz w:val="22"/>
          <w:szCs w:val="22"/>
        </w:rPr>
        <w:t xml:space="preserve">2007 </w:t>
      </w:r>
      <w:r w:rsidRPr="008852FD">
        <w:rPr>
          <w:rFonts w:ascii="Calibri" w:hAnsi="Calibri" w:cs="Calibri"/>
          <w:i/>
          <w:iCs/>
          <w:sz w:val="22"/>
          <w:szCs w:val="22"/>
        </w:rPr>
        <w:t>Linking teaching and research in departments and disciplines</w:t>
      </w:r>
      <w:r w:rsidRPr="008852FD">
        <w:rPr>
          <w:rFonts w:ascii="Calibri" w:hAnsi="Calibri" w:cs="Calibri"/>
          <w:sz w:val="22"/>
          <w:szCs w:val="22"/>
        </w:rPr>
        <w:t xml:space="preserve"> York: </w:t>
      </w:r>
      <w:r>
        <w:rPr>
          <w:rFonts w:ascii="Calibri" w:hAnsi="Calibri" w:cs="Calibri"/>
          <w:sz w:val="22"/>
          <w:szCs w:val="22"/>
        </w:rPr>
        <w:t>HE</w:t>
      </w:r>
      <w:r w:rsidRPr="008852FD">
        <w:rPr>
          <w:rFonts w:ascii="Calibri" w:hAnsi="Calibri" w:cs="Calibri"/>
          <w:sz w:val="22"/>
          <w:szCs w:val="22"/>
        </w:rPr>
        <w:t xml:space="preserve"> Academy (Jenkins A, Healey M and Zetter R) 96pp (</w:t>
      </w:r>
      <w:r w:rsidRPr="008852FD">
        <w:rPr>
          <w:rFonts w:ascii="Calibri" w:eastAsia="SimSun" w:hAnsi="Calibri" w:cs="Calibri"/>
          <w:color w:val="231F20"/>
          <w:sz w:val="22"/>
          <w:szCs w:val="22"/>
          <w:lang w:eastAsia="zh-CN"/>
        </w:rPr>
        <w:t>ISBN 978-1-905788-38-5</w:t>
      </w:r>
      <w:r w:rsidRPr="008852FD">
        <w:rPr>
          <w:rFonts w:ascii="Calibri" w:hAnsi="Calibri" w:cs="Calibri"/>
          <w:sz w:val="22"/>
          <w:szCs w:val="22"/>
        </w:rPr>
        <w:t xml:space="preserve">) </w:t>
      </w:r>
      <w:hyperlink r:id="rId9" w:history="1">
        <w:r w:rsidRPr="008852FD">
          <w:rPr>
            <w:rStyle w:val="Hyperlink"/>
            <w:rFonts w:ascii="Calibri" w:hAnsi="Calibri" w:cs="Calibri"/>
            <w:sz w:val="22"/>
            <w:szCs w:val="22"/>
          </w:rPr>
          <w:t>http://www.heacademy.ac.uk/ourwork/research/teaching</w:t>
        </w:r>
      </w:hyperlink>
      <w:r w:rsidRPr="008852FD">
        <w:rPr>
          <w:rFonts w:ascii="Calibri" w:hAnsi="Calibri" w:cs="Calibri"/>
          <w:color w:val="0000FF"/>
          <w:sz w:val="22"/>
          <w:szCs w:val="22"/>
        </w:rPr>
        <w:t xml:space="preserve"> </w:t>
      </w:r>
    </w:p>
    <w:p w:rsidR="00A826B9" w:rsidRPr="008852FD" w:rsidRDefault="00A826B9" w:rsidP="00A826B9">
      <w:pPr>
        <w:pStyle w:val="NormalWeb"/>
        <w:spacing w:before="0" w:after="0"/>
        <w:ind w:left="360" w:right="0" w:hanging="360"/>
        <w:rPr>
          <w:rFonts w:ascii="Calibri" w:hAnsi="Calibri" w:cs="Calibri"/>
          <w:color w:val="0000FF"/>
          <w:sz w:val="22"/>
          <w:szCs w:val="22"/>
        </w:rPr>
      </w:pPr>
      <w:r w:rsidRPr="008852FD">
        <w:rPr>
          <w:rFonts w:ascii="Calibri" w:hAnsi="Calibri" w:cs="Calibri"/>
          <w:color w:val="000000"/>
          <w:sz w:val="22"/>
          <w:szCs w:val="22"/>
          <w:lang w:val="en-US"/>
        </w:rPr>
        <w:t xml:space="preserve">2009 </w:t>
      </w:r>
      <w:r w:rsidRPr="008852FD">
        <w:rPr>
          <w:rFonts w:ascii="Calibri" w:hAnsi="Calibri" w:cs="Calibri"/>
          <w:i/>
          <w:iCs/>
          <w:color w:val="000000"/>
          <w:sz w:val="22"/>
          <w:szCs w:val="22"/>
          <w:lang w:val="en-US"/>
        </w:rPr>
        <w:t>Developing undergraduate research and inquiry</w:t>
      </w:r>
      <w:r w:rsidRPr="008852FD">
        <w:rPr>
          <w:rFonts w:ascii="Calibri" w:hAnsi="Calibri" w:cs="Calibri"/>
          <w:color w:val="000000"/>
          <w:sz w:val="22"/>
          <w:szCs w:val="22"/>
          <w:lang w:val="en-US"/>
        </w:rPr>
        <w:t xml:space="preserve">. York: HE Academy (Healey M and Jenkins A) 152pp </w:t>
      </w:r>
      <w:hyperlink r:id="rId10" w:tooltip="blocked::http://www.heacademy.ac.uk/assets/York/documents/resources/publications/DevelopingUndergraduate_Final.pdf" w:history="1">
        <w:r w:rsidRPr="008852FD">
          <w:rPr>
            <w:rStyle w:val="Hyperlink"/>
            <w:rFonts w:ascii="Calibri" w:hAnsi="Calibri" w:cs="Calibri"/>
            <w:sz w:val="22"/>
            <w:szCs w:val="22"/>
          </w:rPr>
          <w:t>http://www.heacademy.ac.uk/assets/York/documents/resources/publications/DevelopingUndergraduate_Final.pdf</w:t>
        </w:r>
      </w:hyperlink>
    </w:p>
    <w:p w:rsidR="00A826B9" w:rsidRPr="004937CF" w:rsidRDefault="00A826B9" w:rsidP="00A826B9">
      <w:pPr>
        <w:spacing w:after="0" w:line="240" w:lineRule="auto"/>
        <w:ind w:left="360" w:hanging="360"/>
        <w:rPr>
          <w:rFonts w:cstheme="minorHAnsi"/>
        </w:rPr>
      </w:pPr>
      <w:r w:rsidRPr="004937CF">
        <w:rPr>
          <w:rFonts w:cstheme="minorHAnsi"/>
        </w:rPr>
        <w:t xml:space="preserve">2010 The research-teaching nexus: A case study of students’ awareness, experiences and perceptions of research, </w:t>
      </w:r>
      <w:r w:rsidRPr="004937CF">
        <w:rPr>
          <w:rStyle w:val="Emphasis"/>
          <w:rFonts w:cstheme="minorHAnsi"/>
        </w:rPr>
        <w:t>Innovations in Education and Teaching International</w:t>
      </w:r>
      <w:r w:rsidRPr="004937CF">
        <w:rPr>
          <w:rFonts w:cstheme="minorHAnsi"/>
        </w:rPr>
        <w:t xml:space="preserve"> 47(2), 235-246 (Healey M, Jordan F, Pell B and Short C)</w:t>
      </w:r>
    </w:p>
    <w:p w:rsidR="00A826B9" w:rsidRPr="004937CF" w:rsidRDefault="00A826B9" w:rsidP="00A826B9">
      <w:pPr>
        <w:spacing w:after="0" w:line="240" w:lineRule="auto"/>
        <w:ind w:left="360" w:hanging="360"/>
        <w:rPr>
          <w:rFonts w:cstheme="minorHAnsi"/>
        </w:rPr>
      </w:pPr>
      <w:r w:rsidRPr="004937CF">
        <w:rPr>
          <w:rFonts w:cstheme="minorHAnsi"/>
        </w:rPr>
        <w:t xml:space="preserve">2012 Developing and embedding inquiry-guided learning across an institution, in Lee V (ed) </w:t>
      </w:r>
      <w:r w:rsidRPr="004937CF">
        <w:rPr>
          <w:rStyle w:val="Emphasis"/>
          <w:rFonts w:cstheme="minorHAnsi"/>
        </w:rPr>
        <w:t xml:space="preserve">The Power of Inquiry as a Way of Learning in Undergraduate Education, New Directions in Teaching and Learning </w:t>
      </w:r>
      <w:r w:rsidRPr="004937CF">
        <w:rPr>
          <w:rFonts w:cstheme="minorHAnsi"/>
        </w:rPr>
        <w:t>(Jenkins M and Healey M) (pp27-37)</w:t>
      </w:r>
    </w:p>
    <w:p w:rsidR="00A826B9" w:rsidRPr="0088672A" w:rsidRDefault="00A826B9" w:rsidP="00A826B9">
      <w:pPr>
        <w:spacing w:after="0" w:line="240" w:lineRule="auto"/>
        <w:ind w:left="360" w:hanging="360"/>
        <w:rPr>
          <w:rFonts w:eastAsiaTheme="minorEastAsia" w:cs="Tahoma"/>
          <w:noProof/>
          <w:color w:val="000000"/>
        </w:rPr>
      </w:pPr>
      <w:r w:rsidRPr="0088672A">
        <w:rPr>
          <w:lang w:val="en-US"/>
        </w:rPr>
        <w:lastRenderedPageBreak/>
        <w:t xml:space="preserve">2013 </w:t>
      </w:r>
      <w:r w:rsidRPr="0088672A">
        <w:rPr>
          <w:i/>
          <w:lang w:val="en-US"/>
        </w:rPr>
        <w:t>Developing and enhancing undergraduate final year projects and dissertations</w:t>
      </w:r>
      <w:r w:rsidRPr="0088672A">
        <w:rPr>
          <w:lang w:val="en-US"/>
        </w:rPr>
        <w:t xml:space="preserve">. York: HE Academy (Healey M, Lannin M, Stibbe A, Derounian J) </w:t>
      </w:r>
      <w:r>
        <w:rPr>
          <w:lang w:val="en-US"/>
        </w:rPr>
        <w:t xml:space="preserve">93pp </w:t>
      </w:r>
      <w:hyperlink r:id="rId11" w:history="1">
        <w:r w:rsidRPr="0088672A">
          <w:rPr>
            <w:rStyle w:val="Hyperlink"/>
            <w:rFonts w:eastAsiaTheme="minorEastAsia"/>
            <w:noProof/>
          </w:rPr>
          <w:t>www.heacademy.ac.uk/projects/detail/ntfs/ntfsproject_Gloucestershire10</w:t>
        </w:r>
      </w:hyperlink>
      <w:r w:rsidRPr="0088672A">
        <w:rPr>
          <w:rFonts w:eastAsiaTheme="minorEastAsia"/>
          <w:noProof/>
          <w:color w:val="000000"/>
        </w:rPr>
        <w:t xml:space="preserve"> </w:t>
      </w:r>
    </w:p>
    <w:p w:rsidR="00A826B9" w:rsidRPr="0088672A" w:rsidRDefault="00A826B9" w:rsidP="00A826B9">
      <w:pPr>
        <w:spacing w:after="0" w:line="240" w:lineRule="auto"/>
        <w:ind w:left="360" w:hanging="360"/>
        <w:rPr>
          <w:rFonts w:eastAsiaTheme="minorEastAsia"/>
          <w:noProof/>
        </w:rPr>
      </w:pPr>
      <w:r w:rsidRPr="0088672A">
        <w:rPr>
          <w:lang w:val="en-US"/>
        </w:rPr>
        <w:t xml:space="preserve">2014 </w:t>
      </w:r>
      <w:r w:rsidRPr="0088672A">
        <w:rPr>
          <w:i/>
          <w:lang w:val="en-US"/>
        </w:rPr>
        <w:t xml:space="preserve">Developing research-based curricula for college-based higher education. </w:t>
      </w:r>
      <w:r w:rsidRPr="0088672A">
        <w:rPr>
          <w:lang w:val="en-US"/>
        </w:rPr>
        <w:t xml:space="preserve">York: HE Academy (Healey M, Jenkins A and Lea J) </w:t>
      </w:r>
      <w:r>
        <w:rPr>
          <w:lang w:val="en-US"/>
        </w:rPr>
        <w:t xml:space="preserve">86pp </w:t>
      </w:r>
      <w:hyperlink r:id="rId12" w:history="1">
        <w:r w:rsidRPr="0088672A">
          <w:rPr>
            <w:rStyle w:val="Hyperlink"/>
            <w:rFonts w:eastAsia="Calibri" w:cs="Arial"/>
            <w:noProof/>
          </w:rPr>
          <w:t>www.heacademy.ac.uk/college-based-he/research-based-curricula</w:t>
        </w:r>
      </w:hyperlink>
    </w:p>
    <w:p w:rsidR="00A826B9" w:rsidRPr="005A1413" w:rsidRDefault="00A826B9" w:rsidP="00A826B9">
      <w:pPr>
        <w:pStyle w:val="NormalWeb"/>
        <w:spacing w:before="0" w:after="0"/>
        <w:ind w:left="284" w:hanging="284"/>
        <w:rPr>
          <w:rFonts w:asciiTheme="minorHAnsi" w:hAnsiTheme="minorHAnsi" w:cstheme="minorHAnsi"/>
          <w:sz w:val="22"/>
          <w:szCs w:val="22"/>
        </w:rPr>
      </w:pPr>
      <w:r w:rsidRPr="005A1413">
        <w:rPr>
          <w:rFonts w:asciiTheme="minorHAnsi" w:hAnsiTheme="minorHAnsi" w:cstheme="minorHAnsi"/>
          <w:sz w:val="22"/>
          <w:szCs w:val="22"/>
        </w:rPr>
        <w:t xml:space="preserve">2014 </w:t>
      </w:r>
      <w:r w:rsidRPr="005A1413">
        <w:rPr>
          <w:rFonts w:asciiTheme="minorHAnsi" w:hAnsiTheme="minorHAnsi"/>
          <w:i/>
          <w:sz w:val="22"/>
          <w:szCs w:val="22"/>
        </w:rPr>
        <w:t xml:space="preserve">Engagement through partnership: students as partners in learning and teaching in higher education. </w:t>
      </w:r>
      <w:r w:rsidRPr="005A1413">
        <w:rPr>
          <w:rFonts w:asciiTheme="minorHAnsi" w:hAnsiTheme="minorHAnsi"/>
          <w:sz w:val="22"/>
          <w:szCs w:val="22"/>
        </w:rPr>
        <w:t xml:space="preserve">York, Higher Education Academy. </w:t>
      </w:r>
      <w:r w:rsidRPr="005A1413">
        <w:rPr>
          <w:rFonts w:asciiTheme="minorHAnsi" w:hAnsiTheme="minorHAnsi" w:cstheme="minorHAnsi"/>
          <w:sz w:val="22"/>
          <w:szCs w:val="22"/>
        </w:rPr>
        <w:t xml:space="preserve">Healey M, Flint A, Harrington, K) </w:t>
      </w:r>
      <w:r>
        <w:rPr>
          <w:rFonts w:asciiTheme="minorHAnsi" w:hAnsiTheme="minorHAnsi" w:cstheme="minorHAnsi"/>
          <w:sz w:val="22"/>
          <w:szCs w:val="22"/>
        </w:rPr>
        <w:t xml:space="preserve">76pp </w:t>
      </w:r>
      <w:hyperlink r:id="rId13" w:history="1">
        <w:r w:rsidRPr="005A1413">
          <w:rPr>
            <w:rStyle w:val="Hyperlink"/>
            <w:rFonts w:asciiTheme="minorHAnsi" w:hAnsiTheme="minorHAnsi"/>
            <w:sz w:val="22"/>
            <w:szCs w:val="22"/>
          </w:rPr>
          <w:t>https://www.heacademy.ac.uk/engagement-through-partnership-students-partners-learning-and-teaching-higher-education</w:t>
        </w:r>
      </w:hyperlink>
      <w:r w:rsidRPr="005A1413">
        <w:rPr>
          <w:rFonts w:asciiTheme="minorHAnsi" w:hAnsiTheme="minorHAnsi" w:cstheme="minorHAnsi"/>
          <w:sz w:val="22"/>
          <w:szCs w:val="22"/>
        </w:rPr>
        <w:t xml:space="preserve"> </w:t>
      </w:r>
    </w:p>
    <w:p w:rsidR="00A826B9" w:rsidRDefault="00A826B9" w:rsidP="00A826B9">
      <w:pPr>
        <w:spacing w:after="0" w:line="240" w:lineRule="auto"/>
        <w:rPr>
          <w:b/>
          <w:sz w:val="24"/>
          <w:szCs w:val="24"/>
        </w:rPr>
      </w:pPr>
    </w:p>
    <w:p w:rsidR="00AA1B0A" w:rsidRDefault="00AA1B0A" w:rsidP="006878AF">
      <w:pPr>
        <w:spacing w:after="0" w:line="240" w:lineRule="auto"/>
        <w:jc w:val="center"/>
        <w:rPr>
          <w:b/>
          <w:sz w:val="24"/>
          <w:szCs w:val="24"/>
        </w:rPr>
      </w:pPr>
    </w:p>
    <w:p w:rsidR="00AA1B0A" w:rsidRDefault="00AA1B0A" w:rsidP="006878AF">
      <w:pPr>
        <w:spacing w:after="0" w:line="240" w:lineRule="auto"/>
        <w:jc w:val="center"/>
        <w:rPr>
          <w:b/>
          <w:sz w:val="24"/>
          <w:szCs w:val="24"/>
        </w:rPr>
      </w:pPr>
    </w:p>
    <w:p w:rsidR="006878AF" w:rsidRPr="006878AF" w:rsidRDefault="006878AF" w:rsidP="006878AF">
      <w:pPr>
        <w:spacing w:after="0" w:line="240" w:lineRule="auto"/>
        <w:jc w:val="center"/>
        <w:rPr>
          <w:b/>
          <w:sz w:val="24"/>
          <w:szCs w:val="24"/>
        </w:rPr>
      </w:pPr>
    </w:p>
    <w:sectPr w:rsidR="006878AF" w:rsidRPr="006878AF" w:rsidSect="00A826B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AF"/>
    <w:rsid w:val="00317F89"/>
    <w:rsid w:val="0041533E"/>
    <w:rsid w:val="00423013"/>
    <w:rsid w:val="005B224F"/>
    <w:rsid w:val="006878AF"/>
    <w:rsid w:val="00A826B9"/>
    <w:rsid w:val="00AA1B0A"/>
    <w:rsid w:val="00E6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B9"/>
    <w:rPr>
      <w:color w:val="0563C1" w:themeColor="hyperlink"/>
      <w:u w:val="single"/>
    </w:rPr>
  </w:style>
  <w:style w:type="paragraph" w:styleId="Footer">
    <w:name w:val="footer"/>
    <w:basedOn w:val="Normal"/>
    <w:link w:val="FooterChar"/>
    <w:uiPriority w:val="99"/>
    <w:rsid w:val="00A826B9"/>
    <w:pPr>
      <w:tabs>
        <w:tab w:val="center" w:pos="4819"/>
        <w:tab w:val="right" w:pos="9071"/>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826B9"/>
    <w:rPr>
      <w:rFonts w:ascii="Times New Roman" w:eastAsia="Times New Roman" w:hAnsi="Times New Roman" w:cs="Times New Roman"/>
      <w:sz w:val="20"/>
      <w:szCs w:val="20"/>
    </w:rPr>
  </w:style>
  <w:style w:type="paragraph" w:styleId="NormalWeb">
    <w:name w:val="Normal (Web)"/>
    <w:basedOn w:val="Normal"/>
    <w:uiPriority w:val="99"/>
    <w:rsid w:val="00A826B9"/>
    <w:pPr>
      <w:spacing w:before="480" w:after="480" w:line="240" w:lineRule="auto"/>
      <w:ind w:left="720" w:right="720"/>
    </w:pPr>
    <w:rPr>
      <w:rFonts w:ascii="Verdana" w:eastAsia="SimSun" w:hAnsi="Verdana" w:cs="Verdana"/>
      <w:sz w:val="23"/>
      <w:szCs w:val="23"/>
      <w:lang w:eastAsia="zh-CN"/>
    </w:rPr>
  </w:style>
  <w:style w:type="character" w:styleId="Emphasis">
    <w:name w:val="Emphasis"/>
    <w:basedOn w:val="DefaultParagraphFont"/>
    <w:uiPriority w:val="20"/>
    <w:qFormat/>
    <w:rsid w:val="00A82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B9"/>
    <w:rPr>
      <w:color w:val="0563C1" w:themeColor="hyperlink"/>
      <w:u w:val="single"/>
    </w:rPr>
  </w:style>
  <w:style w:type="paragraph" w:styleId="Footer">
    <w:name w:val="footer"/>
    <w:basedOn w:val="Normal"/>
    <w:link w:val="FooterChar"/>
    <w:uiPriority w:val="99"/>
    <w:rsid w:val="00A826B9"/>
    <w:pPr>
      <w:tabs>
        <w:tab w:val="center" w:pos="4819"/>
        <w:tab w:val="right" w:pos="9071"/>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826B9"/>
    <w:rPr>
      <w:rFonts w:ascii="Times New Roman" w:eastAsia="Times New Roman" w:hAnsi="Times New Roman" w:cs="Times New Roman"/>
      <w:sz w:val="20"/>
      <w:szCs w:val="20"/>
    </w:rPr>
  </w:style>
  <w:style w:type="paragraph" w:styleId="NormalWeb">
    <w:name w:val="Normal (Web)"/>
    <w:basedOn w:val="Normal"/>
    <w:uiPriority w:val="99"/>
    <w:rsid w:val="00A826B9"/>
    <w:pPr>
      <w:spacing w:before="480" w:after="480" w:line="240" w:lineRule="auto"/>
      <w:ind w:left="720" w:right="720"/>
    </w:pPr>
    <w:rPr>
      <w:rFonts w:ascii="Verdana" w:eastAsia="SimSun" w:hAnsi="Verdana" w:cs="Verdana"/>
      <w:sz w:val="23"/>
      <w:szCs w:val="23"/>
      <w:lang w:eastAsia="zh-CN"/>
    </w:rPr>
  </w:style>
  <w:style w:type="character" w:styleId="Emphasis">
    <w:name w:val="Emphasis"/>
    <w:basedOn w:val="DefaultParagraphFont"/>
    <w:uiPriority w:val="20"/>
    <w:qFormat/>
    <w:rsid w:val="00A82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assets/York/documents/ourwork/research/Institutional_strategies.pdf" TargetMode="External"/><Relationship Id="rId13" Type="http://schemas.openxmlformats.org/officeDocument/2006/relationships/hyperlink" Target="https://www.heacademy.ac.uk/engagement-through-partnership-students-partners-learning-and-teaching-higher-education" TargetMode="External"/><Relationship Id="rId3" Type="http://schemas.openxmlformats.org/officeDocument/2006/relationships/settings" Target="settings.xml"/><Relationship Id="rId7" Type="http://schemas.openxmlformats.org/officeDocument/2006/relationships/hyperlink" Target="http://www.mickhealey.co.uk" TargetMode="External"/><Relationship Id="rId12" Type="http://schemas.openxmlformats.org/officeDocument/2006/relationships/hyperlink" Target="http://www.heacademy.ac.uk/college-based-he/research-based-curricul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khealey.co.uk" TargetMode="External"/><Relationship Id="rId11" Type="http://schemas.openxmlformats.org/officeDocument/2006/relationships/hyperlink" Target="http://www.heacademy.ac.uk/projects/detail/ntfs/ntfsproject_Gloucestershire10" TargetMode="External"/><Relationship Id="rId5" Type="http://schemas.openxmlformats.org/officeDocument/2006/relationships/hyperlink" Target="mailto:mhealey@glos.ac.uk" TargetMode="External"/><Relationship Id="rId15" Type="http://schemas.openxmlformats.org/officeDocument/2006/relationships/theme" Target="theme/theme1.xml"/><Relationship Id="rId10" Type="http://schemas.openxmlformats.org/officeDocument/2006/relationships/hyperlink" Target="http://www.heacademy.ac.uk/assets/York/documents/resources/publications/DevelopingUndergraduate_Final.pdf" TargetMode="External"/><Relationship Id="rId4" Type="http://schemas.openxmlformats.org/officeDocument/2006/relationships/webSettings" Target="webSettings.xml"/><Relationship Id="rId9" Type="http://schemas.openxmlformats.org/officeDocument/2006/relationships/hyperlink" Target="http://www.heacademy.ac.uk/ourwork/research/teac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Healey</dc:creator>
  <cp:lastModifiedBy>Vicky.Kelly</cp:lastModifiedBy>
  <cp:revision>2</cp:revision>
  <dcterms:created xsi:type="dcterms:W3CDTF">2015-03-03T10:51:00Z</dcterms:created>
  <dcterms:modified xsi:type="dcterms:W3CDTF">2015-03-03T10:51:00Z</dcterms:modified>
</cp:coreProperties>
</file>